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EF" w:rsidRDefault="00385FEF" w:rsidP="00FE4AB5">
      <w:pPr>
        <w:jc w:val="right"/>
        <w:rPr>
          <w:color w:val="000000"/>
        </w:rPr>
      </w:pPr>
      <w:bookmarkStart w:id="0" w:name="_GoBack"/>
      <w:bookmarkEnd w:id="0"/>
      <w:r>
        <w:rPr>
          <w:color w:val="000000"/>
        </w:rPr>
        <w:t>Додаток 1</w:t>
      </w:r>
    </w:p>
    <w:p w:rsidR="00385FEF" w:rsidRPr="00BF0E0C" w:rsidRDefault="00385FEF" w:rsidP="00FE4AB5">
      <w:pPr>
        <w:jc w:val="right"/>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6095"/>
      </w:tblGrid>
      <w:tr w:rsidR="00FE4AB5" w:rsidRPr="00D7716D" w:rsidTr="00FE4AB5">
        <w:tc>
          <w:tcPr>
            <w:tcW w:w="9889" w:type="dxa"/>
            <w:gridSpan w:val="3"/>
            <w:shd w:val="clear" w:color="auto" w:fill="auto"/>
          </w:tcPr>
          <w:p w:rsidR="00385FEF" w:rsidRDefault="00FE4AB5" w:rsidP="00385FEF">
            <w:pPr>
              <w:jc w:val="center"/>
              <w:rPr>
                <w:color w:val="000000"/>
              </w:rPr>
            </w:pPr>
            <w:r w:rsidRPr="00D7716D">
              <w:rPr>
                <w:color w:val="000000"/>
              </w:rPr>
              <w:t xml:space="preserve">Обґрунтування технічних та якісних характеристик </w:t>
            </w:r>
          </w:p>
          <w:p w:rsidR="00385FEF" w:rsidRDefault="00FE4AB5" w:rsidP="00385FEF">
            <w:pPr>
              <w:jc w:val="center"/>
              <w:rPr>
                <w:color w:val="000000"/>
              </w:rPr>
            </w:pPr>
            <w:r w:rsidRPr="00D7716D">
              <w:rPr>
                <w:color w:val="000000"/>
              </w:rPr>
              <w:t>предмета закупівлі, розміру бюджетного призначення,</w:t>
            </w:r>
          </w:p>
          <w:p w:rsidR="00984BCB" w:rsidRPr="00D7716D" w:rsidRDefault="00FE4AB5" w:rsidP="00385FEF">
            <w:pPr>
              <w:jc w:val="center"/>
              <w:rPr>
                <w:color w:val="000000"/>
              </w:rPr>
            </w:pPr>
            <w:r w:rsidRPr="00D7716D">
              <w:rPr>
                <w:color w:val="000000"/>
              </w:rPr>
              <w:t xml:space="preserve"> очікуваної вартості предмета закупівлі</w:t>
            </w:r>
          </w:p>
        </w:tc>
      </w:tr>
      <w:tr w:rsidR="00365EF6" w:rsidRPr="00D7716D" w:rsidTr="00901D8D">
        <w:trPr>
          <w:trHeight w:val="724"/>
        </w:trPr>
        <w:tc>
          <w:tcPr>
            <w:tcW w:w="675" w:type="dxa"/>
            <w:shd w:val="clear" w:color="auto" w:fill="auto"/>
          </w:tcPr>
          <w:p w:rsidR="00365EF6" w:rsidRPr="00D7716D" w:rsidRDefault="00365EF6" w:rsidP="009076FA">
            <w:pPr>
              <w:rPr>
                <w:color w:val="000000"/>
              </w:rPr>
            </w:pPr>
            <w:r w:rsidRPr="00D7716D">
              <w:rPr>
                <w:color w:val="000000"/>
              </w:rPr>
              <w:t>1</w:t>
            </w:r>
          </w:p>
        </w:tc>
        <w:tc>
          <w:tcPr>
            <w:tcW w:w="3119" w:type="dxa"/>
            <w:shd w:val="clear" w:color="auto" w:fill="auto"/>
          </w:tcPr>
          <w:p w:rsidR="00365EF6" w:rsidRPr="00D7716D" w:rsidRDefault="00365EF6" w:rsidP="009076FA">
            <w:pPr>
              <w:rPr>
                <w:color w:val="000000"/>
              </w:rPr>
            </w:pPr>
            <w:r w:rsidRPr="00D7716D">
              <w:rPr>
                <w:color w:val="000000"/>
              </w:rPr>
              <w:t>Назва предмета закупівлі</w:t>
            </w:r>
          </w:p>
        </w:tc>
        <w:tc>
          <w:tcPr>
            <w:tcW w:w="6095" w:type="dxa"/>
            <w:shd w:val="clear" w:color="auto" w:fill="auto"/>
          </w:tcPr>
          <w:p w:rsidR="009E0D63" w:rsidRPr="009E0D63" w:rsidRDefault="009E0D63" w:rsidP="00531BF0">
            <w:pPr>
              <w:keepNext/>
              <w:keepLines/>
              <w:jc w:val="center"/>
              <w:outlineLvl w:val="2"/>
              <w:rPr>
                <w:rFonts w:eastAsiaTheme="majorEastAsia"/>
                <w:bCs/>
                <w:kern w:val="36"/>
                <w:bdr w:val="none" w:sz="0" w:space="0" w:color="auto" w:frame="1"/>
                <w:lang w:eastAsia="ru-RU"/>
              </w:rPr>
            </w:pPr>
            <w:r w:rsidRPr="009E0D63">
              <w:rPr>
                <w:rFonts w:eastAsiaTheme="majorEastAsia"/>
                <w:bCs/>
                <w:kern w:val="36"/>
                <w:bdr w:val="none" w:sz="0" w:space="0" w:color="auto" w:frame="1"/>
                <w:lang w:eastAsia="ru-RU"/>
              </w:rPr>
              <w:t>Послуги із заправки та відновлення картриджів</w:t>
            </w:r>
          </w:p>
          <w:p w:rsidR="009E0D63" w:rsidRPr="009E0D63" w:rsidRDefault="009E0D63" w:rsidP="00531BF0">
            <w:pPr>
              <w:keepNext/>
              <w:keepLines/>
              <w:jc w:val="center"/>
              <w:outlineLvl w:val="2"/>
              <w:rPr>
                <w:rFonts w:eastAsiaTheme="majorEastAsia"/>
                <w:bCs/>
                <w:bdr w:val="none" w:sz="0" w:space="0" w:color="auto" w:frame="1"/>
                <w:shd w:val="clear" w:color="auto" w:fill="FDFEFD"/>
                <w:lang w:eastAsia="en-US"/>
              </w:rPr>
            </w:pPr>
            <w:r w:rsidRPr="009E0D63">
              <w:rPr>
                <w:rFonts w:eastAsiaTheme="majorEastAsia"/>
                <w:bCs/>
                <w:kern w:val="36"/>
                <w:bdr w:val="none" w:sz="0" w:space="0" w:color="auto" w:frame="1"/>
                <w:lang w:eastAsia="ru-RU"/>
              </w:rPr>
              <w:t xml:space="preserve">за </w:t>
            </w:r>
            <w:r w:rsidRPr="009E0D63">
              <w:rPr>
                <w:rFonts w:eastAsiaTheme="majorEastAsia"/>
                <w:bCs/>
                <w:iCs/>
                <w:kern w:val="2"/>
                <w:lang w:eastAsia="zh-CN"/>
              </w:rPr>
              <w:t xml:space="preserve">ДК 021:2015: </w:t>
            </w:r>
            <w:r w:rsidRPr="009E0D63">
              <w:rPr>
                <w:rFonts w:eastAsiaTheme="majorEastAsia"/>
                <w:bCs/>
                <w:bdr w:val="none" w:sz="0" w:space="0" w:color="auto" w:frame="1"/>
                <w:shd w:val="clear" w:color="auto" w:fill="FDFEFD"/>
                <w:lang w:eastAsia="en-US"/>
              </w:rPr>
              <w:t>50310000-1</w:t>
            </w:r>
            <w:r w:rsidR="00531BF0" w:rsidRPr="00531BF0">
              <w:rPr>
                <w:rFonts w:eastAsiaTheme="majorEastAsia"/>
                <w:bCs/>
                <w:bdr w:val="none" w:sz="0" w:space="0" w:color="auto" w:frame="1"/>
                <w:shd w:val="clear" w:color="auto" w:fill="FDFEFD"/>
                <w:lang w:eastAsia="en-US"/>
              </w:rPr>
              <w:t>«Технічне обслуговування і ремонт офісної техніки»</w:t>
            </w:r>
          </w:p>
          <w:p w:rsidR="00365EF6" w:rsidRDefault="009E0D63" w:rsidP="009E0D63">
            <w:pPr>
              <w:pStyle w:val="3"/>
              <w:spacing w:line="276" w:lineRule="auto"/>
              <w:jc w:val="center"/>
              <w:rPr>
                <w:rFonts w:ascii="Times New Roman" w:hAnsi="Times New Roman" w:cs="Times New Roman"/>
                <w:b w:val="0"/>
                <w:color w:val="6D6D6D"/>
                <w:lang w:eastAsia="en-US"/>
              </w:rPr>
            </w:pPr>
            <w:r w:rsidRPr="009E0D63">
              <w:rPr>
                <w:rFonts w:ascii="Times New Roman" w:hAnsi="Times New Roman" w:cs="Times New Roman"/>
                <w:b w:val="0"/>
                <w:color w:val="000000"/>
                <w:lang w:eastAsia="en-US"/>
              </w:rPr>
              <w:t>(ідентифікатор закупівлі: UA-</w:t>
            </w:r>
            <w:r>
              <w:rPr>
                <w:rFonts w:ascii="Times New Roman" w:hAnsi="Times New Roman" w:cs="Times New Roman"/>
                <w:b w:val="0"/>
                <w:color w:val="000000"/>
                <w:lang w:eastAsia="en-US"/>
              </w:rPr>
              <w:t>2024</w:t>
            </w:r>
            <w:r w:rsidRPr="009E0D63">
              <w:rPr>
                <w:rFonts w:ascii="Times New Roman" w:hAnsi="Times New Roman" w:cs="Times New Roman"/>
                <w:b w:val="0"/>
                <w:color w:val="000000"/>
                <w:lang w:eastAsia="en-US"/>
              </w:rPr>
              <w:t>-</w:t>
            </w:r>
            <w:r>
              <w:rPr>
                <w:rFonts w:ascii="Times New Roman" w:hAnsi="Times New Roman" w:cs="Times New Roman"/>
                <w:b w:val="0"/>
                <w:color w:val="000000"/>
                <w:lang w:eastAsia="en-US"/>
              </w:rPr>
              <w:t>05-20</w:t>
            </w:r>
            <w:r w:rsidRPr="009E0D63">
              <w:rPr>
                <w:rFonts w:ascii="Times New Roman" w:hAnsi="Times New Roman" w:cs="Times New Roman"/>
                <w:b w:val="0"/>
                <w:color w:val="000000"/>
                <w:lang w:eastAsia="en-US"/>
              </w:rPr>
              <w:t>-00</w:t>
            </w:r>
            <w:r>
              <w:rPr>
                <w:rFonts w:ascii="Times New Roman" w:hAnsi="Times New Roman" w:cs="Times New Roman"/>
                <w:b w:val="0"/>
                <w:color w:val="000000"/>
                <w:lang w:eastAsia="en-US"/>
              </w:rPr>
              <w:t>1277</w:t>
            </w:r>
            <w:r w:rsidRPr="009E0D63">
              <w:rPr>
                <w:rFonts w:ascii="Times New Roman" w:hAnsi="Times New Roman" w:cs="Times New Roman"/>
                <w:b w:val="0"/>
                <w:color w:val="000000"/>
                <w:lang w:eastAsia="en-US"/>
              </w:rPr>
              <w:t>-</w:t>
            </w:r>
            <w:r w:rsidRPr="009E0D63">
              <w:rPr>
                <w:rFonts w:ascii="Times New Roman" w:hAnsi="Times New Roman" w:cs="Times New Roman"/>
                <w:b w:val="0"/>
                <w:color w:val="000000"/>
                <w:lang w:val="en-US" w:eastAsia="en-US"/>
              </w:rPr>
              <w:t>a</w:t>
            </w:r>
            <w:r w:rsidRPr="009E0D63">
              <w:rPr>
                <w:rFonts w:ascii="Times New Roman" w:hAnsi="Times New Roman" w:cs="Times New Roman"/>
                <w:b w:val="0"/>
                <w:color w:val="000000"/>
                <w:lang w:eastAsia="en-US"/>
              </w:rPr>
              <w:t>)</w:t>
            </w:r>
          </w:p>
        </w:tc>
      </w:tr>
      <w:tr w:rsidR="00365EF6" w:rsidRPr="00D7716D" w:rsidTr="009E0D63">
        <w:trPr>
          <w:trHeight w:val="2206"/>
        </w:trPr>
        <w:tc>
          <w:tcPr>
            <w:tcW w:w="675" w:type="dxa"/>
            <w:shd w:val="clear" w:color="auto" w:fill="auto"/>
          </w:tcPr>
          <w:p w:rsidR="00365EF6" w:rsidRPr="00D7716D" w:rsidRDefault="00365EF6" w:rsidP="009076FA">
            <w:pPr>
              <w:rPr>
                <w:color w:val="000000"/>
              </w:rPr>
            </w:pPr>
            <w:r w:rsidRPr="00D7716D">
              <w:rPr>
                <w:color w:val="000000"/>
              </w:rPr>
              <w:t>2</w:t>
            </w:r>
          </w:p>
        </w:tc>
        <w:tc>
          <w:tcPr>
            <w:tcW w:w="3119" w:type="dxa"/>
            <w:shd w:val="clear" w:color="auto" w:fill="auto"/>
          </w:tcPr>
          <w:p w:rsidR="00365EF6" w:rsidRPr="00D7716D" w:rsidRDefault="00365EF6" w:rsidP="009076FA">
            <w:pPr>
              <w:rPr>
                <w:color w:val="000000"/>
              </w:rPr>
            </w:pPr>
            <w:r w:rsidRPr="00D7716D">
              <w:rPr>
                <w:color w:val="000000"/>
              </w:rPr>
              <w:t>Обґрунтування технічних та якісних характеристик предмета закупівлі</w:t>
            </w:r>
          </w:p>
        </w:tc>
        <w:tc>
          <w:tcPr>
            <w:tcW w:w="6095" w:type="dxa"/>
            <w:shd w:val="clear" w:color="auto" w:fill="auto"/>
          </w:tcPr>
          <w:p w:rsidR="009E0D63" w:rsidRDefault="00C8409F" w:rsidP="009E0D63">
            <w:pPr>
              <w:pStyle w:val="12"/>
              <w:autoSpaceDE w:val="0"/>
              <w:autoSpaceDN w:val="0"/>
              <w:adjustRightInd w:val="0"/>
              <w:ind w:left="0" w:firstLine="317"/>
              <w:jc w:val="both"/>
              <w:rPr>
                <w:rFonts w:ascii="Times New Roman" w:hAnsi="Times New Roman"/>
                <w:szCs w:val="24"/>
              </w:rPr>
            </w:pPr>
            <w:r w:rsidRPr="005B3347">
              <w:rPr>
                <w:rFonts w:ascii="Times New Roman" w:hAnsi="Times New Roman"/>
                <w:szCs w:val="24"/>
              </w:rPr>
              <w:t>Технічні та якісні характеристики предмета закупівлі визначені відповідно до потреб Головного управління ДПС у Черкаській області</w:t>
            </w:r>
            <w:r w:rsidR="009E0D63">
              <w:rPr>
                <w:rFonts w:ascii="Times New Roman" w:hAnsi="Times New Roman"/>
                <w:szCs w:val="24"/>
              </w:rPr>
              <w:t>.</w:t>
            </w:r>
          </w:p>
          <w:p w:rsidR="009E0D63" w:rsidRDefault="009E0D63" w:rsidP="009E0D63">
            <w:pPr>
              <w:pStyle w:val="12"/>
              <w:autoSpaceDE w:val="0"/>
              <w:autoSpaceDN w:val="0"/>
              <w:adjustRightInd w:val="0"/>
              <w:ind w:left="34" w:firstLine="283"/>
              <w:jc w:val="both"/>
              <w:rPr>
                <w:rFonts w:ascii="Times New Roman" w:hAnsi="Times New Roman"/>
                <w:kern w:val="36"/>
                <w:szCs w:val="24"/>
                <w:bdr w:val="none" w:sz="0" w:space="0" w:color="auto" w:frame="1"/>
              </w:rPr>
            </w:pPr>
            <w:r>
              <w:rPr>
                <w:rFonts w:ascii="Times New Roman" w:hAnsi="Times New Roman"/>
                <w:szCs w:val="24"/>
              </w:rPr>
              <w:t xml:space="preserve">Необхідна кількість заправок та </w:t>
            </w:r>
            <w:proofErr w:type="spellStart"/>
            <w:r>
              <w:rPr>
                <w:rFonts w:ascii="Times New Roman" w:hAnsi="Times New Roman"/>
                <w:szCs w:val="24"/>
              </w:rPr>
              <w:t>відновлень</w:t>
            </w:r>
            <w:proofErr w:type="spellEnd"/>
            <w:r>
              <w:rPr>
                <w:rFonts w:ascii="Times New Roman" w:hAnsi="Times New Roman"/>
                <w:szCs w:val="24"/>
              </w:rPr>
              <w:t xml:space="preserve"> картриджів прогнозується у кількості 860 штук з урахуванням обсягу заправок у попередні роки та з урахуванням наявного комп’ютерного обладнання та оргтехніки</w:t>
            </w:r>
            <w:r w:rsidRPr="005B3347">
              <w:rPr>
                <w:rFonts w:ascii="Times New Roman" w:hAnsi="Times New Roman"/>
                <w:kern w:val="36"/>
                <w:szCs w:val="24"/>
                <w:bdr w:val="none" w:sz="0" w:space="0" w:color="auto" w:frame="1"/>
              </w:rPr>
              <w:t xml:space="preserve"> </w:t>
            </w:r>
          </w:p>
          <w:p w:rsidR="00027BE7" w:rsidRPr="009E0D63" w:rsidRDefault="00027BE7" w:rsidP="009E0D63">
            <w:pPr>
              <w:pStyle w:val="12"/>
              <w:autoSpaceDE w:val="0"/>
              <w:autoSpaceDN w:val="0"/>
              <w:adjustRightInd w:val="0"/>
              <w:ind w:left="34" w:firstLine="283"/>
              <w:jc w:val="both"/>
              <w:rPr>
                <w:rFonts w:ascii="Times New Roman" w:hAnsi="Times New Roman"/>
                <w:szCs w:val="24"/>
              </w:rPr>
            </w:pPr>
            <w:r w:rsidRPr="005B3347">
              <w:rPr>
                <w:rFonts w:ascii="Times New Roman" w:hAnsi="Times New Roman"/>
                <w:kern w:val="36"/>
                <w:szCs w:val="24"/>
                <w:bdr w:val="none" w:sz="0" w:space="0" w:color="auto" w:frame="1"/>
              </w:rPr>
              <w:t xml:space="preserve">Інформація про </w:t>
            </w:r>
            <w:r w:rsidRPr="005B3347">
              <w:rPr>
                <w:rFonts w:ascii="Times New Roman" w:hAnsi="Times New Roman"/>
                <w:color w:val="000000"/>
                <w:szCs w:val="24"/>
                <w:lang w:eastAsia="zh-CN"/>
              </w:rPr>
              <w:t>технічні, якісні та інші характеристики предмета закупівлі визначено в Додатку №3 тендерної документації</w:t>
            </w:r>
          </w:p>
        </w:tc>
      </w:tr>
      <w:tr w:rsidR="00365EF6" w:rsidRPr="00D7716D" w:rsidTr="00901D8D">
        <w:tc>
          <w:tcPr>
            <w:tcW w:w="675" w:type="dxa"/>
            <w:shd w:val="clear" w:color="auto" w:fill="auto"/>
          </w:tcPr>
          <w:p w:rsidR="00365EF6" w:rsidRPr="00D7716D" w:rsidRDefault="005B3347" w:rsidP="009076FA">
            <w:pPr>
              <w:rPr>
                <w:color w:val="000000"/>
              </w:rPr>
            </w:pPr>
            <w:r>
              <w:rPr>
                <w:color w:val="000000"/>
              </w:rPr>
              <w:t xml:space="preserve">   </w:t>
            </w:r>
          </w:p>
        </w:tc>
        <w:tc>
          <w:tcPr>
            <w:tcW w:w="3119" w:type="dxa"/>
            <w:shd w:val="clear" w:color="auto" w:fill="auto"/>
          </w:tcPr>
          <w:p w:rsidR="00365EF6" w:rsidRPr="00D7716D" w:rsidRDefault="00365EF6" w:rsidP="009076FA">
            <w:pPr>
              <w:rPr>
                <w:color w:val="000000"/>
              </w:rPr>
            </w:pPr>
            <w:r w:rsidRPr="00D7716D">
              <w:rPr>
                <w:color w:val="000000"/>
              </w:rPr>
              <w:t xml:space="preserve">Обґрунтування очікуваної вартості предмета закупівлі, розміру бюджетного призначення </w:t>
            </w:r>
          </w:p>
        </w:tc>
        <w:tc>
          <w:tcPr>
            <w:tcW w:w="6095" w:type="dxa"/>
            <w:shd w:val="clear" w:color="auto" w:fill="auto"/>
          </w:tcPr>
          <w:p w:rsidR="00027BE7" w:rsidRDefault="00365EF6" w:rsidP="009E0D63">
            <w:pPr>
              <w:ind w:firstLine="317"/>
              <w:jc w:val="both"/>
              <w:rPr>
                <w:lang w:eastAsia="en-US"/>
              </w:rPr>
            </w:pPr>
            <w:r>
              <w:rPr>
                <w:lang w:eastAsia="en-US"/>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r w:rsidR="00027BE7">
              <w:rPr>
                <w:lang w:eastAsia="en-US"/>
              </w:rPr>
              <w:t xml:space="preserve">враховуючи аналіз цінових пропозицій від учасників ринку. </w:t>
            </w:r>
          </w:p>
          <w:p w:rsidR="00365EF6" w:rsidRDefault="00365EF6" w:rsidP="009E0D63">
            <w:pPr>
              <w:spacing w:line="276" w:lineRule="auto"/>
              <w:ind w:firstLine="317"/>
              <w:jc w:val="both"/>
              <w:rPr>
                <w:color w:val="000000"/>
                <w:lang w:eastAsia="en-US"/>
              </w:rPr>
            </w:pPr>
            <w:r>
              <w:rPr>
                <w:color w:val="000000"/>
                <w:lang w:eastAsia="en-US"/>
              </w:rPr>
              <w:t xml:space="preserve">Розмір бюджетного призначення становить </w:t>
            </w:r>
            <w:r w:rsidR="009E0D63">
              <w:rPr>
                <w:color w:val="000000"/>
                <w:lang w:eastAsia="en-US"/>
              </w:rPr>
              <w:t>353 700</w:t>
            </w:r>
            <w:r w:rsidRPr="0065137D">
              <w:rPr>
                <w:color w:val="000000"/>
                <w:lang w:eastAsia="en-US"/>
              </w:rPr>
              <w:t xml:space="preserve"> гр</w:t>
            </w:r>
            <w:r w:rsidR="00643C62">
              <w:rPr>
                <w:color w:val="000000"/>
                <w:lang w:eastAsia="en-US"/>
              </w:rPr>
              <w:t>иве</w:t>
            </w:r>
            <w:r w:rsidRPr="0065137D">
              <w:rPr>
                <w:color w:val="000000"/>
                <w:lang w:eastAsia="en-US"/>
              </w:rPr>
              <w:t>н</w:t>
            </w:r>
            <w:r w:rsidR="00643C62">
              <w:rPr>
                <w:color w:val="000000"/>
                <w:lang w:eastAsia="en-US"/>
              </w:rPr>
              <w:t>ь</w:t>
            </w:r>
            <w:r>
              <w:rPr>
                <w:color w:val="000000"/>
                <w:lang w:eastAsia="en-US"/>
              </w:rPr>
              <w:t>.</w:t>
            </w:r>
          </w:p>
        </w:tc>
      </w:tr>
    </w:tbl>
    <w:p w:rsidR="00BB200C" w:rsidRDefault="00BB200C" w:rsidP="00BB200C">
      <w:pPr>
        <w:pStyle w:val="a7"/>
        <w:jc w:val="both"/>
        <w:rPr>
          <w:rFonts w:ascii="Times New Roman" w:hAnsi="Times New Roman"/>
          <w:sz w:val="28"/>
          <w:szCs w:val="28"/>
        </w:rPr>
      </w:pPr>
    </w:p>
    <w:sectPr w:rsidR="00BB200C" w:rsidSect="009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E7"/>
    <w:rsid w:val="00000490"/>
    <w:rsid w:val="00027BE7"/>
    <w:rsid w:val="00081EE7"/>
    <w:rsid w:val="000A3CA6"/>
    <w:rsid w:val="000A3FD7"/>
    <w:rsid w:val="00197889"/>
    <w:rsid w:val="001D3DCE"/>
    <w:rsid w:val="001E7281"/>
    <w:rsid w:val="00365EF6"/>
    <w:rsid w:val="00383BB7"/>
    <w:rsid w:val="00385FEF"/>
    <w:rsid w:val="003E1405"/>
    <w:rsid w:val="00410443"/>
    <w:rsid w:val="004A3E17"/>
    <w:rsid w:val="004F0853"/>
    <w:rsid w:val="004F2AA2"/>
    <w:rsid w:val="00505FE3"/>
    <w:rsid w:val="00531BF0"/>
    <w:rsid w:val="00597BC4"/>
    <w:rsid w:val="005A6F58"/>
    <w:rsid w:val="005B3347"/>
    <w:rsid w:val="005D3261"/>
    <w:rsid w:val="00643C62"/>
    <w:rsid w:val="00651049"/>
    <w:rsid w:val="0065137D"/>
    <w:rsid w:val="006570AD"/>
    <w:rsid w:val="006C1B20"/>
    <w:rsid w:val="00754956"/>
    <w:rsid w:val="007D69A8"/>
    <w:rsid w:val="00901D8D"/>
    <w:rsid w:val="00937F71"/>
    <w:rsid w:val="0095213A"/>
    <w:rsid w:val="00955681"/>
    <w:rsid w:val="00984BCB"/>
    <w:rsid w:val="009E0D63"/>
    <w:rsid w:val="00A537E3"/>
    <w:rsid w:val="00AD2544"/>
    <w:rsid w:val="00B203C1"/>
    <w:rsid w:val="00BB200C"/>
    <w:rsid w:val="00C02736"/>
    <w:rsid w:val="00C551E3"/>
    <w:rsid w:val="00C8409F"/>
    <w:rsid w:val="00C84D83"/>
    <w:rsid w:val="00D7716D"/>
    <w:rsid w:val="00F12B92"/>
    <w:rsid w:val="00FE4AB5"/>
    <w:rsid w:val="00FF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490">
      <w:bodyDiv w:val="1"/>
      <w:marLeft w:val="0"/>
      <w:marRight w:val="0"/>
      <w:marTop w:val="0"/>
      <w:marBottom w:val="0"/>
      <w:divBdr>
        <w:top w:val="none" w:sz="0" w:space="0" w:color="auto"/>
        <w:left w:val="none" w:sz="0" w:space="0" w:color="auto"/>
        <w:bottom w:val="none" w:sz="0" w:space="0" w:color="auto"/>
        <w:right w:val="none" w:sz="0" w:space="0" w:color="auto"/>
      </w:divBdr>
    </w:div>
    <w:div w:id="521406877">
      <w:bodyDiv w:val="1"/>
      <w:marLeft w:val="0"/>
      <w:marRight w:val="0"/>
      <w:marTop w:val="0"/>
      <w:marBottom w:val="0"/>
      <w:divBdr>
        <w:top w:val="none" w:sz="0" w:space="0" w:color="auto"/>
        <w:left w:val="none" w:sz="0" w:space="0" w:color="auto"/>
        <w:bottom w:val="none" w:sz="0" w:space="0" w:color="auto"/>
        <w:right w:val="none" w:sz="0" w:space="0" w:color="auto"/>
      </w:divBdr>
    </w:div>
    <w:div w:id="683745092">
      <w:bodyDiv w:val="1"/>
      <w:marLeft w:val="0"/>
      <w:marRight w:val="0"/>
      <w:marTop w:val="0"/>
      <w:marBottom w:val="0"/>
      <w:divBdr>
        <w:top w:val="none" w:sz="0" w:space="0" w:color="auto"/>
        <w:left w:val="none" w:sz="0" w:space="0" w:color="auto"/>
        <w:bottom w:val="none" w:sz="0" w:space="0" w:color="auto"/>
        <w:right w:val="none" w:sz="0" w:space="0" w:color="auto"/>
      </w:divBdr>
    </w:div>
    <w:div w:id="817266681">
      <w:bodyDiv w:val="1"/>
      <w:marLeft w:val="0"/>
      <w:marRight w:val="0"/>
      <w:marTop w:val="0"/>
      <w:marBottom w:val="0"/>
      <w:divBdr>
        <w:top w:val="none" w:sz="0" w:space="0" w:color="auto"/>
        <w:left w:val="none" w:sz="0" w:space="0" w:color="auto"/>
        <w:bottom w:val="none" w:sz="0" w:space="0" w:color="auto"/>
        <w:right w:val="none" w:sz="0" w:space="0" w:color="auto"/>
      </w:divBdr>
    </w:div>
    <w:div w:id="1486362692">
      <w:bodyDiv w:val="1"/>
      <w:marLeft w:val="0"/>
      <w:marRight w:val="0"/>
      <w:marTop w:val="0"/>
      <w:marBottom w:val="0"/>
      <w:divBdr>
        <w:top w:val="none" w:sz="0" w:space="0" w:color="auto"/>
        <w:left w:val="none" w:sz="0" w:space="0" w:color="auto"/>
        <w:bottom w:val="none" w:sz="0" w:space="0" w:color="auto"/>
        <w:right w:val="none" w:sz="0" w:space="0" w:color="auto"/>
      </w:divBdr>
    </w:div>
    <w:div w:id="1727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871</Words>
  <Characters>497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2024-05-21T05:48:00Z</cp:lastPrinted>
  <dcterms:created xsi:type="dcterms:W3CDTF">2024-04-05T07:04:00Z</dcterms:created>
  <dcterms:modified xsi:type="dcterms:W3CDTF">2024-05-21T06:27:00Z</dcterms:modified>
</cp:coreProperties>
</file>